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Витяг із листа МОН України №1/12702-23 від 24.08.2023«Щодо організації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виховного процесу в закладах освіти у 2023-2024 навчальному році»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Подолання негативних явищ (булінг, домашнє насильство, кримінальні правопорушення)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Виховна робота має бути спрямована на формування ціннісного ставлення і судження у школярів, вміння вибудовувати доброзичливі й толерантні стосунки з учасниками освітнього процесу.</w:t>
      </w:r>
    </w:p>
    <w:p w:rsidR="00000000" w:rsidDel="00000000" w:rsidP="00000000" w:rsidRDefault="00000000" w:rsidRPr="00000000" w14:paraId="00000006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Законом України «Про освіту»</w:t>
      </w:r>
      <w:r w:rsidDel="00000000" w:rsidR="00000000" w:rsidRPr="00000000">
        <w:rPr>
          <w:sz w:val="28"/>
          <w:szCs w:val="28"/>
          <w:rtl w:val="0"/>
        </w:rPr>
        <w:t xml:space="preserve"> термін «булінг» визначено як «моральне або фізичне насильство, агресія в будь-якій формі або будь-які інші дії, вчинені з метою викликати страх, тривогу, підпорядкувати особу своїм інтересам, що мають ознаки свідомого жорстокого ставлення». Варто зазначити, що найчастіше до булінгу вдаються в закладах освіти.</w:t>
      </w:r>
    </w:p>
    <w:p w:rsidR="00000000" w:rsidDel="00000000" w:rsidP="00000000" w:rsidRDefault="00000000" w:rsidRPr="00000000" w14:paraId="00000008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Відповідальність за булінг передбачена статтею 1734 Кодексу України</w:t>
      </w:r>
      <w:r w:rsidDel="00000000" w:rsidR="00000000" w:rsidRPr="00000000">
        <w:rPr>
          <w:sz w:val="28"/>
          <w:szCs w:val="28"/>
          <w:rtl w:val="0"/>
        </w:rPr>
        <w:t xml:space="preserve"> про адміністративні правопорушення, яка при цьому застосовується не тільки за вчинення, але й за приховування випадків булінгу.</w:t>
      </w:r>
    </w:p>
    <w:p w:rsidR="00000000" w:rsidDel="00000000" w:rsidP="00000000" w:rsidRDefault="00000000" w:rsidRPr="00000000" w14:paraId="0000000A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 війною проблема булінгу не лише не викорінилася, а онлайнцькування в закладах освіти набуває нових форм і проявів, зокрема, булінг із застосуванням засобів електронних комунікацій. Тривожна тенденція прояву поведінкової агресії та дій з цькування учасників освітнього процесу у процесі онлайн -навчання, їх усвідомленого наміру на заподіяння шкоди психічному або фізичному здоров’ю потерпілого, незважаючи на виклики воєнного часу і зміну чинників безпекової ситуації в країні.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5.8418181818182" w:lineRule="auto"/>
        <w:jc w:val="both"/>
        <w:rPr>
          <w:color w:val="343434"/>
          <w:sz w:val="28"/>
          <w:szCs w:val="28"/>
        </w:rPr>
      </w:pPr>
      <w:r w:rsidDel="00000000" w:rsidR="00000000" w:rsidRPr="00000000">
        <w:rPr>
          <w:color w:val="343434"/>
          <w:sz w:val="28"/>
          <w:szCs w:val="28"/>
          <w:rtl w:val="0"/>
        </w:rPr>
        <w:t xml:space="preserve">«Кібербулінг» чи «онлайн-булінг» стосується випадків вчинення цькування в освітньому середовищі саме в Інтернет-просторі з використанням мобільних телефонів, комп'ютерної техніки, інших пристроїв і засобів, через які здійснюється доступ до електронних комунікаційних мереж.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5.8418181818182" w:lineRule="auto"/>
        <w:jc w:val="both"/>
        <w:rPr>
          <w:color w:val="343434"/>
          <w:sz w:val="28"/>
          <w:szCs w:val="28"/>
        </w:rPr>
      </w:pPr>
      <w:r w:rsidDel="00000000" w:rsidR="00000000" w:rsidRPr="00000000">
        <w:rPr>
          <w:color w:val="343434"/>
          <w:sz w:val="28"/>
          <w:szCs w:val="28"/>
          <w:rtl w:val="0"/>
        </w:rPr>
        <w:t xml:space="preserve">З метою профілактики булінгу (цькування) та кібербулінгу у закладах освіти рекомендуємо проводити просвітницьку роботу з батьками та законними представниками здобувачів освіти з питань профілактики насильства, булінгу, формування толерантної поведінки та вирішення конфліктних ситуацій мирним шляхом.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5.8418181818182" w:lineRule="auto"/>
        <w:jc w:val="both"/>
        <w:rPr>
          <w:color w:val="343434"/>
          <w:sz w:val="28"/>
          <w:szCs w:val="28"/>
        </w:rPr>
      </w:pPr>
      <w:r w:rsidDel="00000000" w:rsidR="00000000" w:rsidRPr="00000000">
        <w:rPr>
          <w:color w:val="343434"/>
          <w:sz w:val="28"/>
          <w:szCs w:val="28"/>
          <w:rtl w:val="0"/>
        </w:rPr>
        <w:t xml:space="preserve">З даної проблематики на офіційних сайтах Міністерства освіти і науки України (</w:t>
      </w:r>
      <w:hyperlink r:id="rId7">
        <w:r w:rsidDel="00000000" w:rsidR="00000000" w:rsidRPr="00000000">
          <w:rPr>
            <w:color w:val="1155cc"/>
            <w:sz w:val="28"/>
            <w:szCs w:val="28"/>
            <w:rtl w:val="0"/>
          </w:rPr>
          <w:t xml:space="preserve">Корисні посилання щодо теми антибулінгу | Міністерство освіти і науки України (mon.gov.ua)</w:t>
        </w:r>
      </w:hyperlink>
      <w:r w:rsidDel="00000000" w:rsidR="00000000" w:rsidRPr="00000000">
        <w:rPr>
          <w:color w:val="343434"/>
          <w:sz w:val="28"/>
          <w:szCs w:val="28"/>
          <w:rtl w:val="0"/>
        </w:rPr>
        <w:t xml:space="preserve">) та Державної наукової установи «Інститут модернізації змісту освіти» (</w:t>
      </w:r>
      <w:hyperlink r:id="rId8">
        <w:r w:rsidDel="00000000" w:rsidR="00000000" w:rsidRPr="00000000">
          <w:rPr>
            <w:color w:val="1155cc"/>
            <w:sz w:val="28"/>
            <w:szCs w:val="28"/>
            <w:rtl w:val="0"/>
          </w:rPr>
          <w:t xml:space="preserve">Корисні посилання – Інститут модернізації змісту освіти (imzo.gov.ua)</w:t>
        </w:r>
      </w:hyperlink>
      <w:r w:rsidDel="00000000" w:rsidR="00000000" w:rsidRPr="00000000">
        <w:rPr>
          <w:color w:val="343434"/>
          <w:sz w:val="28"/>
          <w:szCs w:val="28"/>
          <w:rtl w:val="0"/>
        </w:rPr>
        <w:t xml:space="preserve">) розміщена спеціальна рубрика: «Корисні посилання щодо теми антибулінгу».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5.8418181818182" w:lineRule="auto"/>
        <w:rPr>
          <w:color w:val="343434"/>
          <w:sz w:val="28"/>
          <w:szCs w:val="28"/>
        </w:rPr>
      </w:pPr>
      <w:r w:rsidDel="00000000" w:rsidR="00000000" w:rsidRPr="00000000">
        <w:rPr>
          <w:b w:val="1"/>
          <w:color w:val="343434"/>
          <w:sz w:val="28"/>
          <w:szCs w:val="28"/>
          <w:rtl w:val="0"/>
        </w:rPr>
        <w:t xml:space="preserve">Домашнє насильство</w:t>
      </w:r>
      <w:r w:rsidDel="00000000" w:rsidR="00000000" w:rsidRPr="00000000">
        <w:rPr>
          <w:color w:val="343434"/>
          <w:sz w:val="28"/>
          <w:szCs w:val="28"/>
          <w:rtl w:val="0"/>
        </w:rPr>
        <w:t xml:space="preserve"> під час війни – це поширене явище, яке стає ще більш небезпечним, ніж у мирний час. Попри повномасштабну війну, розпочату РФ на території України, проблема домашнього насильства не стає менш важливою. Війна, як і будь-яка екстремальна ситуація, лише загострює проблеми людей, які були й до цього. Зокрема, це стосується насильства в сім’ях. Низький рівень доходів, безробіття, втрата місця проживання – все це призводить до непорозумінь та негараздів у сім’ї та може переростати у насилля.</w:t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Булінг (цькування)</w:t>
      </w:r>
      <w:r w:rsidDel="00000000" w:rsidR="00000000" w:rsidRPr="00000000">
        <w:rPr>
          <w:sz w:val="28"/>
          <w:szCs w:val="28"/>
          <w:rtl w:val="0"/>
        </w:rPr>
        <w:t xml:space="preserve"> є однією із поширених форм насильства у дитячому середовищі. </w:t>
      </w:r>
    </w:p>
    <w:p w:rsidR="00000000" w:rsidDel="00000000" w:rsidP="00000000" w:rsidRDefault="00000000" w:rsidRPr="00000000" w14:paraId="00000013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Особливої уваги потребують проблеми запобігання насильства та жорстокого поводження з </w:t>
      </w:r>
    </w:p>
    <w:p w:rsidR="00000000" w:rsidDel="00000000" w:rsidP="00000000" w:rsidRDefault="00000000" w:rsidRPr="00000000" w14:paraId="0000001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дітьми в сучасному суспільстві, які зумовлені не тільки збільшенням фактів психічного, </w:t>
      </w:r>
    </w:p>
    <w:p w:rsidR="00000000" w:rsidDel="00000000" w:rsidP="00000000" w:rsidRDefault="00000000" w:rsidRPr="00000000" w14:paraId="0000001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фізичного, сексуального насилля, а і небажанням соціуму відкрито розглядати це питання.</w:t>
      </w:r>
    </w:p>
    <w:p w:rsidR="00000000" w:rsidDel="00000000" w:rsidP="00000000" w:rsidRDefault="00000000" w:rsidRPr="00000000" w14:paraId="00000016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Частина 1 статті 16 «Конвенції про права дитини»</w:t>
      </w:r>
      <w:r w:rsidDel="00000000" w:rsidR="00000000" w:rsidRPr="00000000">
        <w:rPr>
          <w:sz w:val="28"/>
          <w:szCs w:val="28"/>
          <w:rtl w:val="0"/>
        </w:rPr>
        <w:t xml:space="preserve"> передбачає, що жодна дитина не може </w:t>
      </w:r>
    </w:p>
    <w:p w:rsidR="00000000" w:rsidDel="00000000" w:rsidP="00000000" w:rsidRDefault="00000000" w:rsidRPr="00000000" w14:paraId="0000001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бути об'єктом свавільного або незаконного втручання в здійснення її права на особисте і </w:t>
      </w:r>
    </w:p>
    <w:p w:rsidR="00000000" w:rsidDel="00000000" w:rsidP="00000000" w:rsidRDefault="00000000" w:rsidRPr="00000000" w14:paraId="0000001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сімейне життя, недоторканність житла, таємницю кореспонденції або незаконного посягання </w:t>
      </w:r>
    </w:p>
    <w:p w:rsidR="00000000" w:rsidDel="00000000" w:rsidP="00000000" w:rsidRDefault="00000000" w:rsidRPr="00000000" w14:paraId="0000001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 її честь і гідність. </w:t>
      </w:r>
      <w:hyperlink r:id="rId9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https://zakon.rada.gov.ua/laws/show/995_021#Tex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Право дітей на захист від усіх форм насильства гарантується </w:t>
      </w:r>
      <w:r w:rsidDel="00000000" w:rsidR="00000000" w:rsidRPr="00000000">
        <w:rPr>
          <w:b w:val="1"/>
          <w:sz w:val="28"/>
          <w:szCs w:val="28"/>
          <w:rtl w:val="0"/>
        </w:rPr>
        <w:t xml:space="preserve">статтями 28 і 52 Конституції </w:t>
      </w:r>
    </w:p>
    <w:p w:rsidR="00000000" w:rsidDel="00000000" w:rsidP="00000000" w:rsidRDefault="00000000" w:rsidRPr="00000000" w14:paraId="0000001D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України, відповідно до яких ніхто не може бути підданий катуванню, жорстокому, </w:t>
      </w:r>
    </w:p>
    <w:p w:rsidR="00000000" w:rsidDel="00000000" w:rsidP="00000000" w:rsidRDefault="00000000" w:rsidRPr="00000000" w14:paraId="0000001E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нелюдському, або такому, що принижує його гідність, поводженню чи покаранню.</w:t>
      </w:r>
    </w:p>
    <w:p w:rsidR="00000000" w:rsidDel="00000000" w:rsidP="00000000" w:rsidRDefault="00000000" w:rsidRPr="00000000" w14:paraId="0000001F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Статтею 10 Закону України «Про охорону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дитинства»</w:t>
      </w:r>
      <w:r w:rsidDel="00000000" w:rsidR="00000000" w:rsidRPr="00000000">
        <w:rPr>
          <w:sz w:val="28"/>
          <w:szCs w:val="28"/>
          <w:rtl w:val="0"/>
        </w:rPr>
        <w:t xml:space="preserve"> встановлено, що </w:t>
      </w:r>
      <w:r w:rsidDel="00000000" w:rsidR="00000000" w:rsidRPr="00000000">
        <w:rPr>
          <w:b w:val="1"/>
          <w:sz w:val="28"/>
          <w:szCs w:val="28"/>
          <w:rtl w:val="0"/>
        </w:rPr>
        <w:t xml:space="preserve">кожній дитині </w:t>
      </w:r>
    </w:p>
    <w:p w:rsidR="00000000" w:rsidDel="00000000" w:rsidP="00000000" w:rsidRDefault="00000000" w:rsidRPr="00000000" w14:paraId="00000020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гарантується право на свободу, особисту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недоторканість та захист гідності.</w:t>
      </w:r>
    </w:p>
    <w:p w:rsidR="00000000" w:rsidDel="00000000" w:rsidP="00000000" w:rsidRDefault="00000000" w:rsidRPr="00000000" w14:paraId="0000002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Законом України «Про внесення змін до деяких законодавчих актів України щодо протидії </w:t>
      </w:r>
    </w:p>
    <w:p w:rsidR="00000000" w:rsidDel="00000000" w:rsidP="00000000" w:rsidRDefault="00000000" w:rsidRPr="00000000" w14:paraId="00000023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мобінгу (цькуванню)» від 16.11.2022 № 2759-IX передбачено, що керівник закладу освіти в </w:t>
      </w:r>
    </w:p>
    <w:p w:rsidR="00000000" w:rsidDel="00000000" w:rsidP="00000000" w:rsidRDefault="00000000" w:rsidRPr="00000000" w14:paraId="00000024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межах наданих йому повноважень забезпечує створення у закладі освіти безпечного </w:t>
      </w:r>
    </w:p>
    <w:p w:rsidR="00000000" w:rsidDel="00000000" w:rsidP="00000000" w:rsidRDefault="00000000" w:rsidRPr="00000000" w14:paraId="00000025">
      <w:pPr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освітнього середовища</w:t>
      </w:r>
      <w:r w:rsidDel="00000000" w:rsidR="00000000" w:rsidRPr="00000000">
        <w:rPr>
          <w:sz w:val="28"/>
          <w:szCs w:val="28"/>
          <w:rtl w:val="0"/>
        </w:rPr>
        <w:t xml:space="preserve">, вільного від насильства та мобінгу (цькування).</w:t>
      </w:r>
    </w:p>
    <w:p w:rsidR="00000000" w:rsidDel="00000000" w:rsidP="00000000" w:rsidRDefault="00000000" w:rsidRPr="00000000" w14:paraId="0000002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URL:</w:t>
      </w:r>
      <w:hyperlink r:id="rId10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https://zakon.rada.gov.ua/laws/show/2759-20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Нагадуємо, що наказом Міністерства освіти і науки України від 28.12.19 № 1646, </w:t>
      </w:r>
    </w:p>
    <w:p w:rsidR="00000000" w:rsidDel="00000000" w:rsidP="00000000" w:rsidRDefault="00000000" w:rsidRPr="00000000" w14:paraId="0000002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зареєстрованого в Міністерстві юстиції України 03 лютого 2020 за № 11/34394, затверджено </w:t>
      </w:r>
    </w:p>
    <w:p w:rsidR="00000000" w:rsidDel="00000000" w:rsidP="00000000" w:rsidRDefault="00000000" w:rsidRPr="00000000" w14:paraId="0000002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Порядок реагування на випадки булінгу (цькування) та Порядок застосування заходів </w:t>
      </w:r>
    </w:p>
    <w:p w:rsidR="00000000" w:rsidDel="00000000" w:rsidP="00000000" w:rsidRDefault="00000000" w:rsidRPr="00000000" w14:paraId="0000002B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виховного впливу. URL:</w:t>
      </w:r>
      <w:hyperlink r:id="rId11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https://zakon.rada.gov.ua/laws/show/z0111-20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 разі, якщо права дитини порушені органами державної влади чи органами місцевого </w:t>
      </w:r>
    </w:p>
    <w:p w:rsidR="00000000" w:rsidDel="00000000" w:rsidP="00000000" w:rsidRDefault="00000000" w:rsidRPr="00000000" w14:paraId="0000002E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самоврядування, необхідно звернутися до </w:t>
      </w:r>
      <w:r w:rsidDel="00000000" w:rsidR="00000000" w:rsidRPr="00000000">
        <w:rPr>
          <w:b w:val="1"/>
          <w:sz w:val="28"/>
          <w:szCs w:val="28"/>
          <w:rtl w:val="0"/>
        </w:rPr>
        <w:t xml:space="preserve">Уповноваженого Верховної Ради України з прав </w:t>
      </w:r>
    </w:p>
    <w:p w:rsidR="00000000" w:rsidDel="00000000" w:rsidP="00000000" w:rsidRDefault="00000000" w:rsidRPr="00000000" w14:paraId="0000002F">
      <w:pPr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людини</w:t>
      </w:r>
      <w:r w:rsidDel="00000000" w:rsidR="00000000" w:rsidRPr="00000000">
        <w:rPr>
          <w:sz w:val="28"/>
          <w:szCs w:val="28"/>
          <w:rtl w:val="0"/>
        </w:rPr>
        <w:t xml:space="preserve"> на гарячу лінію: 0800-50-17-20 або електронну пошту: hotline@ombudsman.gov.ua.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_U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zakon.rada.gov.ua/laws/show/z0111-20" TargetMode="External"/><Relationship Id="rId10" Type="http://schemas.openxmlformats.org/officeDocument/2006/relationships/hyperlink" Target="https://zakon.rada.gov.ua/laws/show/2759-20" TargetMode="External"/><Relationship Id="rId9" Type="http://schemas.openxmlformats.org/officeDocument/2006/relationships/hyperlink" Target="https://zakon.rada.gov.ua/laws/show/995_021#Te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on.gov.ua/ua/osvita/zagalna-serednya-osvita/protidiya-bulingu/korisni-posilannya-shodo-temi-antibulingu" TargetMode="External"/><Relationship Id="rId8" Type="http://schemas.openxmlformats.org/officeDocument/2006/relationships/hyperlink" Target="https://imzo.gov.ua/osvita/pozashkilna-osvita-ta-vihovna-robota/korysni-posylann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16U2T2O2cpOwbp7kfIvE6S819w==">CgMxLjA4AHIhMURMbDQ4R2VHMms5ZkVISy14V2Nfak5NUjFpMXhIZkti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